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193AF" w14:textId="61DA5790" w:rsidR="00BD79D9" w:rsidRPr="00CE2BFC" w:rsidRDefault="00000000">
      <w:pPr>
        <w:pStyle w:val="P68B1DB1-Normal1"/>
        <w:rPr>
          <w:vanish w:val="0"/>
          <w:lang w:val="fr-FR"/>
        </w:rPr>
      </w:pPr>
      <w:r w:rsidRPr="00CE2BFC">
        <w:rPr>
          <w:vanish w:val="0"/>
          <w:lang w:val="fr-FR"/>
        </w:rPr>
        <w:t xml:space="preserve">Case </w:t>
      </w:r>
      <w:proofErr w:type="spellStart"/>
      <w:r w:rsidRPr="00CE2BFC">
        <w:rPr>
          <w:vanish w:val="0"/>
          <w:lang w:val="fr-FR"/>
        </w:rPr>
        <w:t>Study</w:t>
      </w:r>
      <w:proofErr w:type="spellEnd"/>
      <w:r w:rsidRPr="00CE2BFC">
        <w:rPr>
          <w:vanish w:val="0"/>
          <w:lang w:val="fr-FR"/>
        </w:rPr>
        <w:t xml:space="preserve"> - Part 3</w:t>
      </w:r>
    </w:p>
    <w:p w14:paraId="332B8428" w14:textId="77777777" w:rsidR="00BD79D9" w:rsidRPr="00CE2BFC" w:rsidRDefault="00BD79D9">
      <w:pPr>
        <w:rPr>
          <w:rFonts w:ascii="Courier New" w:hAnsi="Courier New" w:cs="Courier New"/>
          <w:sz w:val="21"/>
          <w:szCs w:val="21"/>
          <w:lang w:val="fr-FR"/>
        </w:rPr>
      </w:pPr>
    </w:p>
    <w:p w14:paraId="61C88DF5" w14:textId="4E50A463" w:rsidR="00BD79D9" w:rsidRPr="00CE2BFC" w:rsidRDefault="00000000">
      <w:pPr>
        <w:pStyle w:val="P68B1DB1-PlainText2"/>
        <w:rPr>
          <w:lang w:val="fr-FR"/>
        </w:rPr>
      </w:pPr>
      <w:r w:rsidRPr="00CE2BFC">
        <w:rPr>
          <w:lang w:val="fr-FR"/>
        </w:rPr>
        <w:t>INTERVENANT : Gert Mayer</w:t>
      </w:r>
    </w:p>
    <w:p w14:paraId="66317AAF" w14:textId="77777777" w:rsidR="00BD79D9" w:rsidRPr="00CE2BFC" w:rsidRDefault="00BD79D9">
      <w:pPr>
        <w:rPr>
          <w:rFonts w:ascii="Courier New" w:hAnsi="Courier New" w:cs="Courier New"/>
          <w:sz w:val="21"/>
          <w:szCs w:val="21"/>
          <w:lang w:val="fr-FR"/>
        </w:rPr>
      </w:pPr>
    </w:p>
    <w:p w14:paraId="02BE3331" w14:textId="062A418F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La première étape de l'anamnèse du patient, et on ne saurait trop le souligner, consiste à identifier le problème. Vous devez parler au patient, comme Joerg vous l'a dit pendant cette session.</w:t>
      </w:r>
    </w:p>
    <w:p w14:paraId="644A68E5" w14:textId="77777777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 xml:space="preserve"> </w:t>
      </w:r>
    </w:p>
    <w:p w14:paraId="70F77A44" w14:textId="152793DE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Si vous ne posez pas la question, de nombreux patients n'associeront pas les démangeaisons à la maladie rénale. Ils penseront qu'il s'agit d'autre chose. Vous seul connaissez ce concept et vous devez expliquer au patient que c'est une complication classique du prurit associé à la maladie rénale chronique (CKD-</w:t>
      </w:r>
      <w:proofErr w:type="spellStart"/>
      <w:r w:rsidRPr="00CE2BFC">
        <w:rPr>
          <w:lang w:val="fr-FR"/>
        </w:rPr>
        <w:t>aP</w:t>
      </w:r>
      <w:proofErr w:type="spellEnd"/>
      <w:r w:rsidRPr="00CE2BFC">
        <w:rPr>
          <w:lang w:val="fr-FR"/>
        </w:rPr>
        <w:t>).</w:t>
      </w:r>
    </w:p>
    <w:p w14:paraId="40802F77" w14:textId="77777777" w:rsidR="00BD79D9" w:rsidRPr="00CE2BFC" w:rsidRDefault="00BD79D9">
      <w:pPr>
        <w:rPr>
          <w:rFonts w:ascii="Courier New" w:hAnsi="Courier New" w:cs="Courier New"/>
          <w:sz w:val="21"/>
          <w:szCs w:val="21"/>
          <w:lang w:val="fr-FR"/>
        </w:rPr>
      </w:pPr>
    </w:p>
    <w:p w14:paraId="611A842D" w14:textId="7D2CF356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Si vous ne posez pas la question, vous passerez à côté du symptôme des démangeaisons, et le patient continuera à souffrir de ce problème.</w:t>
      </w:r>
    </w:p>
    <w:p w14:paraId="5B4D80CC" w14:textId="77777777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 xml:space="preserve"> </w:t>
      </w:r>
    </w:p>
    <w:p w14:paraId="1352D361" w14:textId="51BA776E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La deuxième étape consiste à évaluer l'intensité. Nous utilisons pour cela une échelle d'évaluation numérique et vous pouvez le faire à plusieurs reprises : pour suivre l'évolution naturelle de la maladie (pour savoir si elle devient en soi plus ou moins grave), mais aussi pour surveiller l'efficacité du traitement.</w:t>
      </w:r>
    </w:p>
    <w:p w14:paraId="734C521A" w14:textId="77777777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 xml:space="preserve"> </w:t>
      </w:r>
    </w:p>
    <w:p w14:paraId="178CFE48" w14:textId="75C6630C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La troisième étape peut être réalisée de plusieurs façons. Vous pouvez pratiquer un SADS, ou vous pouvez utiliser l'échelle 5D-Itch pour évaluer l'effet des démangeaisons sur la qualité de vie.</w:t>
      </w:r>
    </w:p>
    <w:p w14:paraId="0FFE23AE" w14:textId="77777777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 xml:space="preserve"> </w:t>
      </w:r>
    </w:p>
    <w:p w14:paraId="09E767D3" w14:textId="44A663AA" w:rsidR="00BD79D9" w:rsidRPr="00CE2BFC" w:rsidRDefault="00000000">
      <w:pPr>
        <w:pStyle w:val="P68B1DB1-Normal3"/>
        <w:rPr>
          <w:lang w:val="fr-FR"/>
        </w:rPr>
      </w:pPr>
      <w:r w:rsidRPr="00CE2BFC">
        <w:rPr>
          <w:lang w:val="fr-FR"/>
        </w:rPr>
        <w:t>En général, l'intensité et l'impact sur la qualité de vie vont de pair, mais cela ne s'applique pas à tout le monde et notre objectif principal est d'améliorer la qualité de vie.</w:t>
      </w:r>
    </w:p>
    <w:p w14:paraId="4B6F5C82" w14:textId="77777777" w:rsidR="00BD79D9" w:rsidRPr="00CE2BFC" w:rsidRDefault="00BD79D9">
      <w:pPr>
        <w:rPr>
          <w:rFonts w:ascii="Courier New" w:hAnsi="Courier New" w:cs="Courier New"/>
          <w:sz w:val="21"/>
          <w:szCs w:val="21"/>
          <w:lang w:val="fr-FR"/>
        </w:rPr>
      </w:pPr>
    </w:p>
    <w:p w14:paraId="32E26802" w14:textId="47BDDD48" w:rsidR="00BD79D9" w:rsidRDefault="00000000">
      <w:pPr>
        <w:pStyle w:val="P68B1DB1-Normal3"/>
      </w:pPr>
      <w:r w:rsidRPr="00CE2BFC">
        <w:rPr>
          <w:lang w:val="fr-FR"/>
        </w:rPr>
        <w:t>Sur la base de tous ces éléments, il a été diagnostiqué chez ce patient un prurit associé à une maladie rénale chronique d’intensité modérée, puis, lors de la dernière évaluation, d'intensité sévère.</w:t>
      </w:r>
    </w:p>
    <w:sectPr w:rsidR="00BD79D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E5"/>
    <w:rsid w:val="00055E22"/>
    <w:rsid w:val="0006324A"/>
    <w:rsid w:val="000649F8"/>
    <w:rsid w:val="002858A4"/>
    <w:rsid w:val="002A5B3F"/>
    <w:rsid w:val="00413834"/>
    <w:rsid w:val="006D63FF"/>
    <w:rsid w:val="00720D62"/>
    <w:rsid w:val="0079720C"/>
    <w:rsid w:val="007A2A83"/>
    <w:rsid w:val="007B46D5"/>
    <w:rsid w:val="007F5F94"/>
    <w:rsid w:val="00950CA6"/>
    <w:rsid w:val="00962A3D"/>
    <w:rsid w:val="00A103E3"/>
    <w:rsid w:val="00A203E5"/>
    <w:rsid w:val="00A42036"/>
    <w:rsid w:val="00AC050E"/>
    <w:rsid w:val="00B51CAD"/>
    <w:rsid w:val="00BD3085"/>
    <w:rsid w:val="00BD79D9"/>
    <w:rsid w:val="00CE2BFC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0EC2B6"/>
  <w15:chartTrackingRefBased/>
  <w15:docId w15:val="{E6EC9136-1331-1A4C-9E20-13049219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3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3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3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3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A20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3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3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3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3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3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3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3E5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03E5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3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03E5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3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03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3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3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3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3E5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FC17A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17A0"/>
    <w:rPr>
      <w:rFonts w:ascii="Consolas" w:hAnsi="Consolas" w:cs="Consolas"/>
      <w:sz w:val="21"/>
      <w:szCs w:val="21"/>
    </w:rPr>
  </w:style>
  <w:style w:type="paragraph" w:customStyle="1" w:styleId="P68B1DB1-Normal1">
    <w:name w:val="P68B1DB1-Normal1"/>
    <w:basedOn w:val="Normal"/>
    <w:rPr>
      <w:rFonts w:ascii="Courier New" w:hAnsi="Courier New" w:cs="Courier New"/>
      <w:vanish/>
      <w:sz w:val="21"/>
      <w:szCs w:val="21"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1337</Characters>
  <Application>Microsoft Office Word</Application>
  <DocSecurity>0</DocSecurity>
  <Lines>31</Lines>
  <Paragraphs>6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2025-09-25T10:53:00Z</dcterms:created>
  <dcterms:modified xsi:type="dcterms:W3CDTF">2025-10-01T11:22:00Z</dcterms:modified>
</cp:coreProperties>
</file>